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63" w:rsidRDefault="00B52263" w:rsidP="004E4169">
      <w:pPr>
        <w:pStyle w:val="Heading1"/>
        <w:jc w:val="center"/>
        <w:rPr>
          <w:sz w:val="36"/>
          <w:szCs w:val="36"/>
        </w:rPr>
      </w:pPr>
    </w:p>
    <w:p w:rsidR="004E4169" w:rsidRPr="003C7CC4" w:rsidRDefault="004E4169" w:rsidP="004E4169">
      <w:pPr>
        <w:pStyle w:val="Heading1"/>
        <w:jc w:val="center"/>
        <w:rPr>
          <w:sz w:val="36"/>
          <w:szCs w:val="36"/>
        </w:rPr>
      </w:pPr>
      <w:r w:rsidRPr="003C7CC4">
        <w:rPr>
          <w:sz w:val="36"/>
          <w:szCs w:val="36"/>
        </w:rPr>
        <w:t>Protection of Minors on Campus Registration Checklist</w:t>
      </w:r>
    </w:p>
    <w:p w:rsidR="004E4169" w:rsidRPr="003C7CC4" w:rsidRDefault="004E4169" w:rsidP="004E4169">
      <w:pPr>
        <w:pStyle w:val="Heading1"/>
        <w:jc w:val="center"/>
        <w:rPr>
          <w:sz w:val="36"/>
          <w:szCs w:val="36"/>
        </w:rPr>
      </w:pPr>
      <w:r w:rsidRPr="003C7CC4">
        <w:rPr>
          <w:sz w:val="36"/>
          <w:szCs w:val="36"/>
        </w:rPr>
        <w:t xml:space="preserve">For </w:t>
      </w:r>
      <w:r w:rsidR="006E381C">
        <w:rPr>
          <w:sz w:val="36"/>
          <w:szCs w:val="36"/>
        </w:rPr>
        <w:t xml:space="preserve">Third Party </w:t>
      </w:r>
      <w:r w:rsidRPr="003C7CC4">
        <w:rPr>
          <w:sz w:val="36"/>
          <w:szCs w:val="36"/>
        </w:rPr>
        <w:t>Programs</w:t>
      </w:r>
      <w:r w:rsidR="006E381C">
        <w:rPr>
          <w:sz w:val="36"/>
          <w:szCs w:val="36"/>
        </w:rPr>
        <w:t xml:space="preserve"> </w:t>
      </w:r>
    </w:p>
    <w:p w:rsidR="004E4169" w:rsidRDefault="004E4169" w:rsidP="004E4169">
      <w:pPr>
        <w:pStyle w:val="Heading1"/>
        <w:jc w:val="center"/>
        <w:rPr>
          <w:sz w:val="28"/>
          <w:szCs w:val="28"/>
        </w:rPr>
      </w:pPr>
    </w:p>
    <w:p w:rsidR="00B52263" w:rsidRDefault="00B52263" w:rsidP="004E4169">
      <w:pPr>
        <w:pStyle w:val="Heading1"/>
        <w:jc w:val="center"/>
        <w:rPr>
          <w:sz w:val="28"/>
          <w:szCs w:val="28"/>
        </w:rPr>
      </w:pPr>
    </w:p>
    <w:p w:rsidR="004E4169" w:rsidRDefault="004E4169" w:rsidP="004E4169">
      <w:pPr>
        <w:pStyle w:val="BodyText"/>
        <w:spacing w:before="122"/>
        <w:ind w:left="100" w:right="97"/>
      </w:pPr>
      <w:r>
        <w:rPr>
          <w:color w:val="4A4F55"/>
        </w:rPr>
        <w:t>The person responsible for programs sponsored, overseen, supervised, operate</w:t>
      </w:r>
      <w:r w:rsidR="009B114F">
        <w:rPr>
          <w:color w:val="4A4F55"/>
        </w:rPr>
        <w:t>d, controlled, or managed by</w:t>
      </w:r>
      <w:r>
        <w:rPr>
          <w:color w:val="4A4F55"/>
        </w:rPr>
        <w:t xml:space="preserve"> </w:t>
      </w:r>
      <w:r w:rsidR="006E381C">
        <w:rPr>
          <w:color w:val="4A4F55"/>
        </w:rPr>
        <w:t>a third party</w:t>
      </w:r>
      <w:r>
        <w:rPr>
          <w:color w:val="4A4F55"/>
        </w:rPr>
        <w:t xml:space="preserve"> that involve minors </w:t>
      </w:r>
      <w:r w:rsidR="006E381C">
        <w:rPr>
          <w:color w:val="4A4F55"/>
        </w:rPr>
        <w:t xml:space="preserve">coming onto Syracuse University owned, operated or controlled property </w:t>
      </w:r>
      <w:r>
        <w:rPr>
          <w:color w:val="4A4F55"/>
        </w:rPr>
        <w:t xml:space="preserve">are required to register the program or activity by completing the steps in this checklist. For more information, visit </w:t>
      </w:r>
      <w:hyperlink r:id="rId6" w:history="1">
        <w:r>
          <w:rPr>
            <w:rStyle w:val="Hyperlink"/>
          </w:rPr>
          <w:t>http://riskmanagement.syr.edu/policies-and-procedures/minors-on-campus/</w:t>
        </w:r>
      </w:hyperlink>
      <w:r>
        <w:rPr>
          <w:b/>
          <w:color w:val="4A4F55"/>
        </w:rPr>
        <w:t xml:space="preserve">.  </w:t>
      </w:r>
      <w:r>
        <w:rPr>
          <w:color w:val="4A4F55"/>
        </w:rPr>
        <w:t xml:space="preserve">For questions or if you are registering a program for the first time, contact Risk Management at </w:t>
      </w:r>
      <w:hyperlink r:id="rId7" w:history="1">
        <w:r w:rsidRPr="00CB7477">
          <w:rPr>
            <w:rStyle w:val="Hyperlink"/>
          </w:rPr>
          <w:t>riskadmin@syr.edu</w:t>
        </w:r>
      </w:hyperlink>
      <w:r>
        <w:rPr>
          <w:color w:val="31849B"/>
        </w:rPr>
        <w:t xml:space="preserve"> </w:t>
      </w:r>
      <w:r>
        <w:rPr>
          <w:color w:val="4A4F55"/>
        </w:rPr>
        <w:t>or 315-443-4011.</w:t>
      </w:r>
    </w:p>
    <w:p w:rsidR="00EE6C3A" w:rsidRDefault="00EE6C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0"/>
      </w:tblGrid>
      <w:tr w:rsidR="004E4169" w:rsidTr="004E4169">
        <w:tc>
          <w:tcPr>
            <w:tcW w:w="11740" w:type="dxa"/>
          </w:tcPr>
          <w:p w:rsidR="004E4169" w:rsidRDefault="000F3700" w:rsidP="000F3700">
            <w:pPr>
              <w:pStyle w:val="Heading1"/>
              <w:tabs>
                <w:tab w:val="left" w:pos="819"/>
                <w:tab w:val="left" w:pos="820"/>
              </w:tabs>
              <w:spacing w:before="1" w:line="244" w:lineRule="auto"/>
              <w:ind w:right="677"/>
              <w:outlineLvl w:val="0"/>
            </w:pPr>
            <w:sdt>
              <w:sdtPr>
                <w:rPr>
                  <w:rFonts w:ascii="Wingdings" w:hAnsi="Wingdings"/>
                  <w:b w:val="0"/>
                  <w:color w:val="57068C"/>
                  <w:w w:val="104"/>
                  <w:sz w:val="23"/>
                  <w:szCs w:val="23"/>
                  <w:highlight w:val="lightGray"/>
                </w:rPr>
                <w:id w:val="-174547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color w:val="57068C"/>
                    <w:w w:val="104"/>
                    <w:sz w:val="23"/>
                    <w:szCs w:val="23"/>
                    <w:highlight w:val="lightGray"/>
                  </w:rPr>
                  <w:t>☐</w:t>
                </w:r>
              </w:sdtContent>
            </w:sdt>
            <w:r>
              <w:rPr>
                <w:rFonts w:ascii="Wingdings" w:hAnsi="Wingdings"/>
                <w:b w:val="0"/>
                <w:color w:val="57068C"/>
                <w:w w:val="104"/>
                <w:sz w:val="23"/>
                <w:szCs w:val="23"/>
                <w:highlight w:val="lightGray"/>
              </w:rPr>
              <w:t></w:t>
            </w:r>
            <w:r w:rsidR="004E4169">
              <w:rPr>
                <w:color w:val="4A4F55"/>
              </w:rPr>
              <w:t>1.</w:t>
            </w:r>
            <w:r w:rsidR="004E4169">
              <w:rPr>
                <w:color w:val="4A4F55"/>
                <w:spacing w:val="-6"/>
              </w:rPr>
              <w:t xml:space="preserve"> </w:t>
            </w:r>
            <w:r w:rsidR="004E4169">
              <w:rPr>
                <w:color w:val="4A4F55"/>
              </w:rPr>
              <w:t>Register</w:t>
            </w:r>
            <w:r w:rsidR="004E4169">
              <w:rPr>
                <w:color w:val="4A4F55"/>
                <w:spacing w:val="-2"/>
              </w:rPr>
              <w:t xml:space="preserve"> </w:t>
            </w:r>
            <w:r w:rsidR="004E4169">
              <w:rPr>
                <w:color w:val="4A4F55"/>
              </w:rPr>
              <w:t>the</w:t>
            </w:r>
            <w:r w:rsidR="004E4169">
              <w:rPr>
                <w:color w:val="4A4F55"/>
                <w:spacing w:val="-4"/>
              </w:rPr>
              <w:t xml:space="preserve"> </w:t>
            </w:r>
            <w:r w:rsidR="004E4169">
              <w:rPr>
                <w:color w:val="4A4F55"/>
              </w:rPr>
              <w:t>program</w:t>
            </w:r>
            <w:r w:rsidR="004E4169">
              <w:rPr>
                <w:color w:val="4A4F55"/>
                <w:spacing w:val="-2"/>
              </w:rPr>
              <w:t xml:space="preserve"> </w:t>
            </w:r>
            <w:r w:rsidR="004E4169">
              <w:rPr>
                <w:color w:val="4A4F55"/>
              </w:rPr>
              <w:t>in</w:t>
            </w:r>
            <w:r w:rsidR="004E4169">
              <w:rPr>
                <w:color w:val="4A4F55"/>
                <w:spacing w:val="-2"/>
              </w:rPr>
              <w:t xml:space="preserve"> </w:t>
            </w:r>
            <w:r w:rsidR="004E4169">
              <w:rPr>
                <w:color w:val="4A4F55"/>
              </w:rPr>
              <w:t>the</w:t>
            </w:r>
            <w:r w:rsidR="004E4169">
              <w:rPr>
                <w:color w:val="4A4F55"/>
                <w:spacing w:val="-4"/>
              </w:rPr>
              <w:t xml:space="preserve"> </w:t>
            </w:r>
            <w:hyperlink r:id="rId8" w:history="1">
              <w:r w:rsidR="004E4169" w:rsidRPr="00BA18FE">
                <w:rPr>
                  <w:rStyle w:val="Hyperlink"/>
                </w:rPr>
                <w:t>Minors on Campus webpage</w:t>
              </w:r>
            </w:hyperlink>
            <w:r w:rsidR="004E4169">
              <w:rPr>
                <w:color w:val="31849B"/>
                <w:spacing w:val="-6"/>
              </w:rPr>
              <w:t xml:space="preserve"> </w:t>
            </w:r>
            <w:r w:rsidR="004E4169">
              <w:rPr>
                <w:color w:val="4A4F55"/>
              </w:rPr>
              <w:t>by</w:t>
            </w:r>
            <w:r w:rsidR="004E4169">
              <w:rPr>
                <w:color w:val="4A4F55"/>
                <w:spacing w:val="-1"/>
              </w:rPr>
              <w:t xml:space="preserve"> </w:t>
            </w:r>
            <w:r w:rsidR="004E4169">
              <w:rPr>
                <w:color w:val="4A4F55"/>
              </w:rPr>
              <w:t>the</w:t>
            </w:r>
            <w:r w:rsidR="004E4169">
              <w:rPr>
                <w:color w:val="4A4F55"/>
                <w:spacing w:val="-4"/>
              </w:rPr>
              <w:t xml:space="preserve"> </w:t>
            </w:r>
            <w:r w:rsidR="004E4169">
              <w:rPr>
                <w:color w:val="4A4F55"/>
              </w:rPr>
              <w:t>appropriate deadline (recurring programs must reregister every fiscal year):</w:t>
            </w:r>
          </w:p>
          <w:p w:rsidR="004E4169" w:rsidRDefault="004E4169" w:rsidP="004E4169">
            <w:pPr>
              <w:pStyle w:val="ListParagraph"/>
              <w:numPr>
                <w:ilvl w:val="1"/>
                <w:numId w:val="1"/>
              </w:numPr>
              <w:tabs>
                <w:tab w:val="left" w:pos="1179"/>
                <w:tab w:val="left" w:pos="1180"/>
              </w:tabs>
              <w:ind w:right="192"/>
              <w:rPr>
                <w:sz w:val="24"/>
              </w:rPr>
            </w:pPr>
            <w:r>
              <w:rPr>
                <w:color w:val="4A4F55"/>
                <w:sz w:val="24"/>
                <w:u w:val="single" w:color="4A4F55"/>
              </w:rPr>
              <w:t>One month prior to the start of the program:</w:t>
            </w:r>
            <w:r>
              <w:rPr>
                <w:color w:val="4A4F55"/>
                <w:sz w:val="24"/>
              </w:rPr>
              <w:t xml:space="preserve"> If the program does not involve overnight stays for</w:t>
            </w:r>
            <w:r>
              <w:rPr>
                <w:color w:val="4A4F55"/>
                <w:spacing w:val="-40"/>
                <w:sz w:val="24"/>
              </w:rPr>
              <w:t xml:space="preserve"> </w:t>
            </w:r>
            <w:r>
              <w:rPr>
                <w:color w:val="4A4F55"/>
                <w:sz w:val="24"/>
              </w:rPr>
              <w:t>minors in Syracuse University residence</w:t>
            </w:r>
            <w:r>
              <w:rPr>
                <w:color w:val="4A4F55"/>
                <w:spacing w:val="-4"/>
                <w:sz w:val="24"/>
              </w:rPr>
              <w:t xml:space="preserve"> </w:t>
            </w:r>
            <w:r>
              <w:rPr>
                <w:color w:val="4A4F55"/>
                <w:sz w:val="24"/>
              </w:rPr>
              <w:t>halls</w:t>
            </w:r>
          </w:p>
          <w:p w:rsidR="004E4169" w:rsidRDefault="004E4169" w:rsidP="009B114F">
            <w:pPr>
              <w:pStyle w:val="ListParagraph"/>
              <w:tabs>
                <w:tab w:val="left" w:pos="1179"/>
                <w:tab w:val="left" w:pos="1180"/>
              </w:tabs>
              <w:ind w:right="431" w:firstLine="0"/>
            </w:pPr>
          </w:p>
        </w:tc>
      </w:tr>
      <w:tr w:rsidR="004E4169" w:rsidTr="004E4169">
        <w:tc>
          <w:tcPr>
            <w:tcW w:w="11740" w:type="dxa"/>
          </w:tcPr>
          <w:p w:rsidR="004E4169" w:rsidRDefault="000F3700" w:rsidP="000F3700">
            <w:pPr>
              <w:pStyle w:val="Heading1"/>
              <w:spacing w:before="10" w:line="291" w:lineRule="exact"/>
              <w:outlineLvl w:val="0"/>
            </w:pPr>
            <w:sdt>
              <w:sdtPr>
                <w:rPr>
                  <w:rFonts w:ascii="Wingdings" w:hAnsi="Wingdings"/>
                  <w:b w:val="0"/>
                  <w:color w:val="57068C"/>
                  <w:w w:val="104"/>
                  <w:sz w:val="23"/>
                  <w:szCs w:val="23"/>
                  <w:highlight w:val="lightGray"/>
                </w:rPr>
                <w:id w:val="-7413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color w:val="57068C"/>
                    <w:w w:val="104"/>
                    <w:sz w:val="23"/>
                    <w:szCs w:val="23"/>
                    <w:highlight w:val="lightGray"/>
                  </w:rPr>
                  <w:t>☐</w:t>
                </w:r>
              </w:sdtContent>
            </w:sdt>
            <w:r>
              <w:rPr>
                <w:rFonts w:ascii="Wingdings" w:hAnsi="Wingdings"/>
                <w:b w:val="0"/>
                <w:color w:val="57068C"/>
                <w:w w:val="104"/>
                <w:sz w:val="23"/>
                <w:szCs w:val="23"/>
                <w:highlight w:val="lightGray"/>
              </w:rPr>
              <w:t></w:t>
            </w:r>
            <w:r w:rsidR="004E4169">
              <w:rPr>
                <w:color w:val="4A4F55"/>
              </w:rPr>
              <w:t>2. Ensure that all background checks have been completed prior to start of program</w:t>
            </w:r>
          </w:p>
          <w:p w:rsidR="004E4169" w:rsidRDefault="004E4169" w:rsidP="006E381C">
            <w:pPr>
              <w:pStyle w:val="ListParagraph"/>
              <w:tabs>
                <w:tab w:val="left" w:pos="1179"/>
                <w:tab w:val="left" w:pos="1180"/>
              </w:tabs>
              <w:spacing w:before="1"/>
              <w:ind w:right="316" w:firstLine="0"/>
            </w:pPr>
          </w:p>
        </w:tc>
      </w:tr>
      <w:tr w:rsidR="004E4169" w:rsidTr="004E4169">
        <w:tc>
          <w:tcPr>
            <w:tcW w:w="11740" w:type="dxa"/>
          </w:tcPr>
          <w:p w:rsidR="004E4169" w:rsidRDefault="000F3700" w:rsidP="000F3700">
            <w:pPr>
              <w:pStyle w:val="Heading1"/>
              <w:tabs>
                <w:tab w:val="left" w:pos="819"/>
                <w:tab w:val="left" w:pos="820"/>
              </w:tabs>
              <w:spacing w:before="100"/>
              <w:ind w:right="104"/>
              <w:outlineLvl w:val="0"/>
            </w:pPr>
            <w:sdt>
              <w:sdtPr>
                <w:rPr>
                  <w:rFonts w:ascii="Wingdings" w:hAnsi="Wingdings"/>
                  <w:b w:val="0"/>
                  <w:color w:val="57068C"/>
                  <w:w w:val="104"/>
                  <w:sz w:val="23"/>
                  <w:szCs w:val="23"/>
                  <w:highlight w:val="lightGray"/>
                </w:rPr>
                <w:id w:val="19556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color w:val="57068C"/>
                    <w:w w:val="104"/>
                    <w:sz w:val="23"/>
                    <w:szCs w:val="23"/>
                    <w:highlight w:val="lightGray"/>
                  </w:rPr>
                  <w:t>☐</w:t>
                </w:r>
              </w:sdtContent>
            </w:sdt>
            <w:r>
              <w:rPr>
                <w:rFonts w:ascii="Wingdings" w:hAnsi="Wingdings"/>
                <w:b w:val="0"/>
                <w:color w:val="57068C"/>
                <w:w w:val="104"/>
                <w:sz w:val="23"/>
                <w:szCs w:val="23"/>
                <w:highlight w:val="lightGray"/>
              </w:rPr>
              <w:t></w:t>
            </w:r>
            <w:r w:rsidR="009B114F">
              <w:rPr>
                <w:color w:val="4A4F55"/>
              </w:rPr>
              <w:t>3</w:t>
            </w:r>
            <w:r w:rsidR="004E4169">
              <w:rPr>
                <w:color w:val="4A4F55"/>
              </w:rPr>
              <w:t xml:space="preserve">. Confirm all program staff, including the responsible program person, completed </w:t>
            </w:r>
            <w:r w:rsidR="006E381C">
              <w:rPr>
                <w:color w:val="4A4F55"/>
              </w:rPr>
              <w:t>protection of minors t</w:t>
            </w:r>
            <w:r w:rsidR="004E4169">
              <w:rPr>
                <w:color w:val="4A4F55"/>
              </w:rPr>
              <w:t>raining</w:t>
            </w:r>
            <w:r w:rsidR="004E4169">
              <w:rPr>
                <w:color w:val="4A4F55"/>
                <w:spacing w:val="-3"/>
              </w:rPr>
              <w:t xml:space="preserve"> </w:t>
            </w:r>
            <w:r w:rsidR="006E381C">
              <w:rPr>
                <w:color w:val="4A4F55"/>
                <w:spacing w:val="-3"/>
              </w:rPr>
              <w:t xml:space="preserve">that complies with N.Y. Social Services Section 413 </w:t>
            </w:r>
            <w:r w:rsidR="004E4169">
              <w:rPr>
                <w:color w:val="4A4F55"/>
              </w:rPr>
              <w:t>prior to the start of the</w:t>
            </w:r>
            <w:r w:rsidR="004E4169">
              <w:rPr>
                <w:color w:val="4A4F55"/>
                <w:spacing w:val="-9"/>
              </w:rPr>
              <w:t xml:space="preserve"> </w:t>
            </w:r>
            <w:r w:rsidR="004E4169">
              <w:rPr>
                <w:color w:val="4A4F55"/>
              </w:rPr>
              <w:t>program/activity.</w:t>
            </w:r>
          </w:p>
          <w:p w:rsidR="004E4169" w:rsidRDefault="004E4169" w:rsidP="006E381C">
            <w:pPr>
              <w:pStyle w:val="ListParagraph"/>
              <w:tabs>
                <w:tab w:val="left" w:pos="1179"/>
                <w:tab w:val="left" w:pos="1180"/>
              </w:tabs>
              <w:ind w:firstLine="0"/>
            </w:pPr>
          </w:p>
        </w:tc>
      </w:tr>
      <w:tr w:rsidR="004E4169" w:rsidTr="004E4169">
        <w:tc>
          <w:tcPr>
            <w:tcW w:w="11740" w:type="dxa"/>
          </w:tcPr>
          <w:p w:rsidR="004E4169" w:rsidRPr="004E4169" w:rsidRDefault="000F3700" w:rsidP="000F3700">
            <w:pPr>
              <w:pStyle w:val="Heading1"/>
              <w:tabs>
                <w:tab w:val="left" w:pos="819"/>
                <w:tab w:val="left" w:pos="820"/>
              </w:tabs>
              <w:ind w:right="425"/>
              <w:outlineLvl w:val="0"/>
            </w:pPr>
            <w:sdt>
              <w:sdtPr>
                <w:rPr>
                  <w:rFonts w:ascii="Wingdings" w:hAnsi="Wingdings"/>
                  <w:b w:val="0"/>
                  <w:color w:val="57068C"/>
                  <w:w w:val="104"/>
                  <w:sz w:val="23"/>
                  <w:szCs w:val="23"/>
                  <w:highlight w:val="lightGray"/>
                </w:rPr>
                <w:id w:val="67238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color w:val="57068C"/>
                    <w:w w:val="104"/>
                    <w:sz w:val="23"/>
                    <w:szCs w:val="23"/>
                    <w:highlight w:val="lightGray"/>
                  </w:rPr>
                  <w:t>☐</w:t>
                </w:r>
              </w:sdtContent>
            </w:sdt>
            <w:r>
              <w:rPr>
                <w:rFonts w:ascii="Wingdings" w:hAnsi="Wingdings"/>
                <w:b w:val="0"/>
                <w:color w:val="57068C"/>
                <w:w w:val="104"/>
                <w:sz w:val="23"/>
                <w:szCs w:val="23"/>
                <w:highlight w:val="lightGray"/>
              </w:rPr>
              <w:t></w:t>
            </w:r>
            <w:r w:rsidR="009B114F">
              <w:rPr>
                <w:color w:val="4A4F55"/>
              </w:rPr>
              <w:t>4</w:t>
            </w:r>
            <w:r w:rsidR="004E4169">
              <w:rPr>
                <w:color w:val="4A4F55"/>
              </w:rPr>
              <w:t xml:space="preserve">. </w:t>
            </w:r>
            <w:r w:rsidR="006E381C" w:rsidRPr="006E381C">
              <w:rPr>
                <w:color w:val="4A4F55"/>
              </w:rPr>
              <w:t>Maintain an up-to-date program participation list and provide the list to Risk Management.</w:t>
            </w:r>
          </w:p>
          <w:p w:rsidR="004E4169" w:rsidRPr="004E4169" w:rsidRDefault="004E4169" w:rsidP="006E381C">
            <w:pPr>
              <w:pStyle w:val="Heading1"/>
              <w:tabs>
                <w:tab w:val="left" w:pos="819"/>
                <w:tab w:val="left" w:pos="820"/>
              </w:tabs>
              <w:ind w:left="1230" w:right="425" w:firstLine="0"/>
              <w:outlineLvl w:val="0"/>
              <w:rPr>
                <w:b w:val="0"/>
              </w:rPr>
            </w:pPr>
          </w:p>
        </w:tc>
      </w:tr>
      <w:tr w:rsidR="00B52263" w:rsidTr="004E4169">
        <w:tc>
          <w:tcPr>
            <w:tcW w:w="11740" w:type="dxa"/>
          </w:tcPr>
          <w:p w:rsidR="00B52263" w:rsidRPr="004E4169" w:rsidRDefault="000F3700" w:rsidP="000F3700">
            <w:pPr>
              <w:pStyle w:val="Heading1"/>
              <w:tabs>
                <w:tab w:val="left" w:pos="819"/>
                <w:tab w:val="left" w:pos="820"/>
              </w:tabs>
              <w:ind w:right="425"/>
              <w:outlineLvl w:val="0"/>
            </w:pPr>
            <w:sdt>
              <w:sdtPr>
                <w:rPr>
                  <w:rFonts w:ascii="Wingdings" w:hAnsi="Wingdings"/>
                  <w:b w:val="0"/>
                  <w:color w:val="57068C"/>
                  <w:w w:val="104"/>
                  <w:sz w:val="23"/>
                  <w:szCs w:val="23"/>
                  <w:highlight w:val="lightGray"/>
                </w:rPr>
                <w:id w:val="-16814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color w:val="57068C"/>
                    <w:w w:val="104"/>
                    <w:sz w:val="23"/>
                    <w:szCs w:val="23"/>
                    <w:highlight w:val="lightGray"/>
                  </w:rPr>
                  <w:t>☐</w:t>
                </w:r>
              </w:sdtContent>
            </w:sdt>
            <w:r>
              <w:rPr>
                <w:rFonts w:ascii="Wingdings" w:hAnsi="Wingdings"/>
                <w:b w:val="0"/>
                <w:color w:val="57068C"/>
                <w:w w:val="104"/>
                <w:sz w:val="23"/>
                <w:szCs w:val="23"/>
                <w:highlight w:val="lightGray"/>
              </w:rPr>
              <w:t></w:t>
            </w:r>
            <w:r w:rsidR="009B114F">
              <w:rPr>
                <w:color w:val="4A4F55"/>
              </w:rPr>
              <w:t>5. Provide proof of insurance if</w:t>
            </w:r>
            <w:r w:rsidR="006E381C">
              <w:rPr>
                <w:color w:val="4A4F55"/>
              </w:rPr>
              <w:t xml:space="preserve"> requested by Risk Management.</w:t>
            </w:r>
          </w:p>
          <w:p w:rsidR="007234E2" w:rsidRPr="006E381C" w:rsidRDefault="007234E2" w:rsidP="009B114F">
            <w:pPr>
              <w:pStyle w:val="Heading1"/>
              <w:tabs>
                <w:tab w:val="left" w:pos="819"/>
                <w:tab w:val="left" w:pos="820"/>
              </w:tabs>
              <w:ind w:right="425"/>
              <w:outlineLvl w:val="0"/>
              <w:rPr>
                <w:b w:val="0"/>
                <w:color w:val="4A4F55"/>
              </w:rPr>
            </w:pPr>
          </w:p>
        </w:tc>
      </w:tr>
    </w:tbl>
    <w:p w:rsidR="004E4169" w:rsidRDefault="004E4169"/>
    <w:sectPr w:rsidR="004E4169" w:rsidSect="00471ECC">
      <w:pgSz w:w="12240" w:h="15840"/>
      <w:pgMar w:top="432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C73"/>
    <w:multiLevelType w:val="hybridMultilevel"/>
    <w:tmpl w:val="1FB6E6E6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  <w:color w:val="4A4F5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4ABF538D"/>
    <w:multiLevelType w:val="hybridMultilevel"/>
    <w:tmpl w:val="F34093AA"/>
    <w:lvl w:ilvl="0" w:tplc="59A2F29E">
      <w:start w:val="1"/>
      <w:numFmt w:val="bullet"/>
      <w:lvlText w:val=""/>
      <w:lvlJc w:val="left"/>
      <w:pPr>
        <w:ind w:left="820" w:hanging="720"/>
      </w:pPr>
      <w:rPr>
        <w:rFonts w:ascii="Wingdings" w:hAnsi="Wingdings" w:hint="default"/>
        <w:color w:val="57068C"/>
        <w:w w:val="104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4A4F55"/>
        <w:w w:val="100"/>
        <w:sz w:val="24"/>
        <w:szCs w:val="24"/>
      </w:rPr>
    </w:lvl>
    <w:lvl w:ilvl="2" w:tplc="2F8EBCA4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7038AA72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653E56C0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660EC1F6">
      <w:numFmt w:val="bullet"/>
      <w:lvlText w:val="•"/>
      <w:lvlJc w:val="left"/>
      <w:pPr>
        <w:ind w:left="5864" w:hanging="360"/>
      </w:pPr>
      <w:rPr>
        <w:rFonts w:hint="default"/>
      </w:rPr>
    </w:lvl>
    <w:lvl w:ilvl="6" w:tplc="9CF853CE">
      <w:numFmt w:val="bullet"/>
      <w:lvlText w:val="•"/>
      <w:lvlJc w:val="left"/>
      <w:pPr>
        <w:ind w:left="7035" w:hanging="360"/>
      </w:pPr>
      <w:rPr>
        <w:rFonts w:hint="default"/>
      </w:rPr>
    </w:lvl>
    <w:lvl w:ilvl="7" w:tplc="7F5EA89E"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5F164A72">
      <w:numFmt w:val="bullet"/>
      <w:lvlText w:val="•"/>
      <w:lvlJc w:val="left"/>
      <w:pPr>
        <w:ind w:left="9377" w:hanging="360"/>
      </w:pPr>
      <w:rPr>
        <w:rFonts w:hint="default"/>
      </w:rPr>
    </w:lvl>
  </w:abstractNum>
  <w:abstractNum w:abstractNumId="2" w15:restartNumberingAfterBreak="0">
    <w:nsid w:val="63D94D8E"/>
    <w:multiLevelType w:val="hybridMultilevel"/>
    <w:tmpl w:val="FB9056C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4A4F5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5E666DE"/>
    <w:multiLevelType w:val="hybridMultilevel"/>
    <w:tmpl w:val="650A9CF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6DC020F2"/>
    <w:multiLevelType w:val="hybridMultilevel"/>
    <w:tmpl w:val="2354B92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color w:val="4A4F5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69"/>
    <w:rsid w:val="000F3700"/>
    <w:rsid w:val="00471ECC"/>
    <w:rsid w:val="004E4169"/>
    <w:rsid w:val="006E381C"/>
    <w:rsid w:val="007234E2"/>
    <w:rsid w:val="007A73C7"/>
    <w:rsid w:val="009B114F"/>
    <w:rsid w:val="00B52263"/>
    <w:rsid w:val="00E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24B5"/>
  <w15:chartTrackingRefBased/>
  <w15:docId w15:val="{EB0E2770-551F-4D63-99FC-EF346955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E4169"/>
    <w:pPr>
      <w:widowControl w:val="0"/>
      <w:autoSpaceDE w:val="0"/>
      <w:autoSpaceDN w:val="0"/>
      <w:spacing w:after="0" w:line="240" w:lineRule="auto"/>
      <w:ind w:left="820" w:hanging="7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4169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4169"/>
    <w:pPr>
      <w:widowControl w:val="0"/>
      <w:autoSpaceDE w:val="0"/>
      <w:autoSpaceDN w:val="0"/>
      <w:spacing w:after="0" w:line="240" w:lineRule="auto"/>
      <w:ind w:left="118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4169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169"/>
    <w:rPr>
      <w:color w:val="0000FF"/>
      <w:u w:val="single"/>
    </w:rPr>
  </w:style>
  <w:style w:type="table" w:styleId="TableGrid">
    <w:name w:val="Table Grid"/>
    <w:basedOn w:val="TableNormal"/>
    <w:uiPriority w:val="39"/>
    <w:rsid w:val="004E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E4169"/>
    <w:pPr>
      <w:widowControl w:val="0"/>
      <w:autoSpaceDE w:val="0"/>
      <w:autoSpaceDN w:val="0"/>
      <w:spacing w:after="0" w:line="240" w:lineRule="auto"/>
      <w:ind w:left="1180" w:hanging="360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E4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management.syr.edu/policies-and-procedures/minors-on-campus/program-registration/" TargetMode="External"/><Relationship Id="rId3" Type="http://schemas.openxmlformats.org/officeDocument/2006/relationships/styles" Target="styles.xml"/><Relationship Id="rId7" Type="http://schemas.openxmlformats.org/officeDocument/2006/relationships/hyperlink" Target="mailto:riskadmin@sy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skmanagement.syr.edu/policies-and-procedures/minors-on-campu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FBB4-8593-45C1-9EB3-234C5AAA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 Cooter</dc:creator>
  <cp:keywords/>
  <dc:description/>
  <cp:lastModifiedBy>Nicole J Cooter</cp:lastModifiedBy>
  <cp:revision>4</cp:revision>
  <dcterms:created xsi:type="dcterms:W3CDTF">2019-05-15T18:19:00Z</dcterms:created>
  <dcterms:modified xsi:type="dcterms:W3CDTF">2019-05-16T20:38:00Z</dcterms:modified>
</cp:coreProperties>
</file>